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295" w:hanging="617" w:hangingChars="193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年中国共产主义青年团彭州市委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专职青少年事务社工招聘岗位表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3"/>
        <w:tblW w:w="10425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0"/>
        <w:gridCol w:w="975"/>
        <w:gridCol w:w="960"/>
        <w:gridCol w:w="1350"/>
        <w:gridCol w:w="1740"/>
        <w:gridCol w:w="151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职责</w:t>
            </w:r>
          </w:p>
        </w:tc>
        <w:tc>
          <w:tcPr>
            <w:tcW w:w="205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</w:trPr>
        <w:tc>
          <w:tcPr>
            <w:tcW w:w="6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专职青少年事务社工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大学专科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35 周岁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（1987年11月8日以后出生）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从事青少年服务相关工作</w:t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文字功底扎实,具有较强的组织协调能力、语言表达能力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优先录用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09ED55DA"/>
    <w:rsid w:val="09E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150</Characters>
  <Lines>0</Lines>
  <Paragraphs>0</Paragraphs>
  <TotalTime>0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2022-11-08T00:43:00Z</dcterms:created>
  <dc:creator>WPS_947087884</dc:creator>
  <cp:lastModifiedBy>WPS_947087884</cp:lastModifiedBy>
  <dcterms:modified xsi:type="dcterms:W3CDTF">2022-11-08T00:43:41Z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CE3BF687E099415582E8B74541DDD969</vt:lpwstr>
  </property>
</Properties>
</file>